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04"/>
        <w:gridCol w:w="3418"/>
      </w:tblGrid>
      <w:tr>
        <w:tblPrEx/>
        <w:trPr/>
        <w:tc>
          <w:tcPr>
            <w:tcW w:w="620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ТЗ.0001</w:t>
            </w:r>
            <w:r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  <w:u w:val="single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рального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вопросам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ый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Таранков А.И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5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</w:t>
      </w:r>
      <w:r>
        <w:rPr>
          <w:rFonts w:ascii="Times New Roman CYR" w:hAnsi="Times New Roman CYR" w:cs="Times New Roman CYR"/>
          <w:sz w:val="26"/>
          <w:szCs w:val="26"/>
        </w:rPr>
        <w:t xml:space="preserve">закупки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поставку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изоляторов подвесных стеклянных на напряжение от 10 </w:t>
      </w:r>
      <w:r>
        <w:rPr>
          <w:rFonts w:ascii="Times New Roman" w:hAnsi="Times New Roman" w:eastAsia="Times New Roman"/>
          <w:sz w:val="26"/>
          <w:szCs w:val="26"/>
        </w:rPr>
        <w:t xml:space="preserve">кВ</w:t>
      </w:r>
      <w:r>
        <w:rPr>
          <w:rFonts w:ascii="Times New Roman" w:hAnsi="Times New Roman" w:eastAsia="Times New Roman"/>
          <w:sz w:val="26"/>
          <w:szCs w:val="26"/>
        </w:rPr>
        <w:t xml:space="preserve"> до 500 </w:t>
      </w:r>
      <w:r>
        <w:rPr>
          <w:rFonts w:ascii="Times New Roman" w:hAnsi="Times New Roman" w:eastAsia="Times New Roman"/>
          <w:sz w:val="26"/>
          <w:szCs w:val="26"/>
        </w:rPr>
        <w:t xml:space="preserve">кВ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АО </w:t>
      </w:r>
      <w:r>
        <w:rPr>
          <w:rFonts w:ascii="Times New Roman CYR" w:hAnsi="Times New Roman CYR" w:cs="Times New Roman CYR"/>
          <w:sz w:val="26"/>
          <w:szCs w:val="26"/>
        </w:rPr>
        <w:t xml:space="preserve">«</w:t>
      </w:r>
      <w:r>
        <w:rPr>
          <w:rFonts w:ascii="Times New Roman CYR" w:hAnsi="Times New Roman CYR" w:cs="Times New Roman CYR"/>
          <w:sz w:val="26"/>
          <w:szCs w:val="26"/>
        </w:rPr>
        <w:t xml:space="preserve">Россети</w:t>
      </w:r>
      <w:r>
        <w:rPr>
          <w:rFonts w:ascii="Times New Roman CYR" w:hAnsi="Times New Roman CYR" w:cs="Times New Roman CYR"/>
          <w:sz w:val="26"/>
          <w:szCs w:val="26"/>
        </w:rPr>
        <w:t xml:space="preserve"> Сибирь </w:t>
      </w:r>
      <w:r>
        <w:rPr>
          <w:rFonts w:ascii="Times New Roman CYR" w:hAnsi="Times New Roman CYR" w:cs="Times New Roman CYR"/>
          <w:sz w:val="26"/>
          <w:szCs w:val="26"/>
        </w:rPr>
        <w:t xml:space="preserve">Тываэнерго</w:t>
      </w:r>
      <w:r>
        <w:rPr>
          <w:rFonts w:ascii="Times New Roman CYR" w:hAnsi="Times New Roman CYR" w:cs="Times New Roman CYR"/>
          <w:sz w:val="26"/>
          <w:szCs w:val="26"/>
        </w:rPr>
        <w:t xml:space="preserve">»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поставка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изоляторов подвесных стеклянных на напряжение от 10 </w:t>
      </w:r>
      <w:r>
        <w:rPr>
          <w:rFonts w:ascii="Times New Roman" w:hAnsi="Times New Roman" w:eastAsia="Times New Roman"/>
          <w:sz w:val="26"/>
          <w:szCs w:val="26"/>
        </w:rPr>
        <w:t xml:space="preserve">кВ</w:t>
      </w:r>
      <w:r>
        <w:rPr>
          <w:rFonts w:ascii="Times New Roman" w:hAnsi="Times New Roman" w:eastAsia="Times New Roman"/>
          <w:sz w:val="26"/>
          <w:szCs w:val="26"/>
        </w:rPr>
        <w:t xml:space="preserve"> до 500 </w:t>
      </w:r>
      <w:r>
        <w:rPr>
          <w:rFonts w:ascii="Times New Roman" w:hAnsi="Times New Roman" w:eastAsia="Times New Roman"/>
          <w:sz w:val="26"/>
          <w:szCs w:val="26"/>
        </w:rPr>
        <w:t xml:space="preserve">кВ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Продукции.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>
        <w:rPr>
          <w:rFonts w:ascii="Times New Roman CYR" w:hAnsi="Times New Roman CYR" w:cs="Times New Roman CYR"/>
          <w:sz w:val="26"/>
          <w:szCs w:val="26"/>
        </w:rPr>
        <w:t xml:space="preserve">М</w:t>
      </w:r>
      <w:r>
        <w:rPr>
          <w:rFonts w:ascii="Times New Roman CYR" w:hAnsi="Times New Roman CYR" w:cs="Times New Roman CYR"/>
          <w:sz w:val="26"/>
          <w:szCs w:val="26"/>
        </w:rPr>
        <w:t xml:space="preserve">ест</w:t>
      </w:r>
      <w:r>
        <w:rPr>
          <w:rFonts w:ascii="Times New Roman CYR" w:hAnsi="Times New Roman CYR" w:cs="Times New Roman CYR"/>
          <w:sz w:val="26"/>
          <w:szCs w:val="26"/>
        </w:rPr>
        <w:t xml:space="preserve">о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Центральный склад, г.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Кызыл</w:t>
      </w:r>
      <w:r>
        <w:rPr>
          <w:rFonts w:ascii="Times New Roman CYR" w:hAnsi="Times New Roman CYR" w:cs="Times New Roman CYR"/>
          <w:sz w:val="26"/>
          <w:szCs w:val="26"/>
        </w:rPr>
        <w:t xml:space="preserve">,</w:t>
      </w:r>
      <w:r>
        <w:rPr>
          <w:rFonts w:ascii="Times New Roman CYR" w:hAnsi="Times New Roman CYR" w:cs="Times New Roman CYR"/>
          <w:sz w:val="26"/>
          <w:szCs w:val="26"/>
        </w:rPr>
        <w:t xml:space="preserve"> ул. Колхозная, 2</w:t>
      </w:r>
      <w:r>
        <w:rPr>
          <w:rFonts w:ascii="Times New Roman CYR" w:hAnsi="Times New Roman CYR" w:cs="Times New Roman CYR"/>
          <w:sz w:val="26"/>
          <w:szCs w:val="26"/>
        </w:rPr>
        <w:t xml:space="preserve">б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Поставка продукции осуществляется транспортными средствами</w:t>
      </w:r>
      <w:r>
        <w:rPr>
          <w:rFonts w:ascii="Times New Roman CYR" w:hAnsi="Times New Roman CYR" w:cs="Times New Roman CYR"/>
          <w:sz w:val="26"/>
          <w:szCs w:val="26"/>
        </w:rPr>
        <w:t xml:space="preserve"> до склада </w:t>
      </w:r>
      <w:r>
        <w:rPr>
          <w:rFonts w:ascii="Times New Roman CYR" w:hAnsi="Times New Roman CYR" w:cs="Times New Roman CYR"/>
          <w:sz w:val="26"/>
          <w:szCs w:val="26"/>
        </w:rPr>
        <w:t xml:space="preserve">Заказчика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" w:hAnsi="Times New Roman" w:eastAsia="Times New Roman"/>
          <w:sz w:val="26"/>
          <w:szCs w:val="26"/>
        </w:rPr>
        <w:t xml:space="preserve">23216-78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2.3 Срок поставки: </w:t>
      </w:r>
      <w:r>
        <w:rPr>
          <w:rFonts w:ascii="Times New Roman" w:hAnsi="Times New Roman"/>
          <w:sz w:val="26"/>
          <w:szCs w:val="26"/>
        </w:rPr>
        <w:t xml:space="preserve">в течение 30 календар</w:t>
      </w:r>
      <w:r>
        <w:rPr>
          <w:rFonts w:ascii="Times New Roman" w:hAnsi="Times New Roman"/>
          <w:sz w:val="26"/>
          <w:szCs w:val="26"/>
        </w:rPr>
        <w:t xml:space="preserve">ных дней от даты заключения договора.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перечень и объемы поставки указаны в приложении 1.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3.2.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Все налоги, сборы, отчисления и другие платежи, включая таможенные платежи 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сборы, а также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b/>
          <w:bCs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соответствовать требованиям: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Положения ПАО «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Россети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» О единой технической политике в электросетевом комплексе.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ГОСТ 27661-2017 Изоляторы линейные подвесные тарельчатые. Типы, параметры и размеры;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- ГОСТ 18328-73 Изоляторы стеклянные линейные подвесные и штыревые. Требования к качеству стекла и поверхности изоляционных деталей.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numPr>
          <w:ilvl w:val="1"/>
          <w:numId w:val="8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Продукция должна сопровождаться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7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Характеристики и требования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к поставляемым материалам представлены в приложении 2 к настоящему техническому заданию.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8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Предлагаемые к поставке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материалы,  должны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соответствовать требованиям приложения 2 к настоящему ТЗ и действующим в РФ нормативным документам.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val="en-US"/>
        </w:rPr>
        <w:t xml:space="preserve">5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Срок гарантии на поставляемые материалы должен быть не менее 5 лет. Время начала исчисления гарантийного срока – с момента ввода материалов в эксплуатацию.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pStyle w:val="867"/>
        <w:contextualSpacing/>
        <w:ind w:left="0" w:firstLine="709"/>
        <w:jc w:val="both"/>
        <w:tabs>
          <w:tab w:val="left" w:pos="0" w:leader="none"/>
          <w:tab w:val="left" w:pos="993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867"/>
        <w:contextualSpacing/>
        <w:ind w:left="0" w:firstLine="709"/>
        <w:jc w:val="both"/>
        <w:tabs>
          <w:tab w:val="left" w:pos="0" w:leader="none"/>
          <w:tab w:val="left" w:pos="993" w:leader="none"/>
          <w:tab w:val="left" w:pos="1134" w:leader="none"/>
        </w:tabs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  <w:lang w:val="en-US"/>
        </w:rPr>
        <w:t xml:space="preserve">6</w:t>
      </w:r>
      <w:r>
        <w:rPr>
          <w:b/>
          <w:bCs/>
          <w:sz w:val="26"/>
          <w:szCs w:val="26"/>
        </w:rPr>
        <w:t xml:space="preserve">. </w:t>
      </w:r>
      <w:r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 xml:space="preserve">продукции</w:t>
      </w:r>
      <w:r>
        <w:rPr>
          <w:b/>
          <w:bCs/>
          <w:sz w:val="26"/>
          <w:szCs w:val="26"/>
        </w:rPr>
        <w:t xml:space="preserve">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tbl>
      <w:tblPr>
        <w:tblW w:w="100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126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УИиКС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Шатохин Д.В.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У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ТОиРОЭХ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Н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ачальник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ОЛи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МТО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Шмидгаль А.Ю.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Приложение 2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 техническому заданию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>
        <w:rPr>
          <w:rFonts w:ascii="Times New Roman" w:hAnsi="Times New Roman" w:eastAsia="Times New Roman"/>
          <w:color w:val="000000"/>
          <w:sz w:val="28"/>
          <w:szCs w:val="20"/>
          <w:lang w:eastAsia="ru-RU"/>
        </w:rPr>
        <w:t xml:space="preserve">Изолятор </w:t>
      </w:r>
      <w:r>
        <w:rPr>
          <w:rFonts w:ascii="Times New Roman" w:hAnsi="Times New Roman" w:eastAsia="Times New Roman"/>
          <w:color w:val="000000"/>
          <w:sz w:val="28"/>
          <w:szCs w:val="20"/>
          <w:lang w:eastAsia="ru-RU"/>
        </w:rPr>
        <w:t xml:space="preserve">ПС 70Е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"/>
        <w:gridCol w:w="4017"/>
        <w:gridCol w:w="2548"/>
        <w:gridCol w:w="2703"/>
      </w:tblGrid>
      <w:tr>
        <w:tblPrEx/>
        <w:trPr/>
        <w:tc>
          <w:tcPr>
            <w:shd w:val="clear" w:color="auto" w:fill="auto"/>
            <w:tcW w:w="63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Характеристики оборудования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Требуемые параметры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990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Изолятор типа ПС (модификации)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Минимальная разрушающая нагрузка, кН,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Минимальная разрушающая нагрузка остатка изолятора, кН,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Строительная высота, Н, мм и тип замка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127 (W)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Диаметр, </w:t>
            </w:r>
            <w:r>
              <w:rPr>
                <w:rFonts w:ascii="Times New Roman" w:hAnsi="Times New Roman"/>
                <w:lang w:val="en-US"/>
              </w:rPr>
              <w:t xml:space="preserve">D</w:t>
            </w:r>
            <w:r>
              <w:rPr>
                <w:rFonts w:ascii="Times New Roman" w:hAnsi="Times New Roman"/>
              </w:rPr>
              <w:t xml:space="preserve">, мм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Длина пути утечки, мм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Сферическое соединение, </w:t>
            </w:r>
            <w:r>
              <w:rPr>
                <w:rFonts w:ascii="Times New Roman" w:hAnsi="Times New Roman"/>
                <w:lang w:val="en-US"/>
              </w:rPr>
              <w:t xml:space="preserve">d</w:t>
            </w:r>
            <w:r>
              <w:rPr>
                <w:rFonts w:ascii="Times New Roman" w:hAnsi="Times New Roman"/>
              </w:rPr>
              <w:t xml:space="preserve">, мм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Пробивное напряжение в изоляционной среде, не менее,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Выдерживаемое напряжение (в сухом состоянии) / (под дождем), не менее,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70/40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Выдерживаемое импульсное напряжение 1,2/50 +/-, не менее,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105/105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Испытательное напряжение при испытании на пробой импульсным напряжением в воздухе, не менее,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280...310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Напряжение по уровню радиопомех при частоте 0,5МГц, 60/86 дБ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20/25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Масса, кг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3,6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Материал изоляционной части,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стекло в соответствии с ГОСТ 18328-73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Разница между отдельными изоляторами одной группы по высоте не должна превышать 1мм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99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ОБЩИЕ ТРЕБОВАНИЯ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99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Климатическое исполнение и категория размещения (по ГОСТ 15150-69)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УХЛ1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textDirection w:val="lrTb"/>
            <w:noWrap w:val="false"/>
          </w:tcPr>
          <w:p>
            <w:pPr>
              <w:pStyle w:val="88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Диапазон температур при эксплуатации, </w:t>
            </w:r>
            <w:r>
              <w:rPr>
                <w:sz w:val="24"/>
                <w:szCs w:val="24"/>
                <w:vertAlign w:val="superscript"/>
              </w:rPr>
              <w:t xml:space="preserve">о</w:t>
            </w:r>
            <w:r>
              <w:rPr>
                <w:sz w:val="24"/>
                <w:szCs w:val="24"/>
              </w:rPr>
              <w:t xml:space="preserve">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-60 - +50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pStyle w:val="880"/>
              <w:ind w:hanging="7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Степень загрязнения, не менее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III-IV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Допустимая скорость ветра при </w:t>
            </w:r>
            <w:r>
              <w:rPr>
                <w:rFonts w:ascii="Times New Roman" w:hAnsi="Times New Roman"/>
              </w:rPr>
              <w:t xml:space="preserve">гололеде, м/с, не более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Допустимая скорость ветра при отсутствии гололеда, м/с, не более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Высота установки над уровнем моря, м, не более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99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Комплектность поставки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Технический паспорт, протоколы испытаний, сертификаты (декларации) соответствия, документация по монтажу и эксплуатации на русском языке, экз.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99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Требования по гарантии и надежности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службы, лет,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99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Требования по безопасности и сертификации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Соответствие ГОСТ Р 27661-2017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российских сертификатов/декларации соответствия ГОСТ, ТУ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Да, указать номер и дату документов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4"/>
            <w:shd w:val="clear" w:color="auto" w:fill="auto"/>
            <w:tcW w:w="990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Гарантийный срок консервации, лет,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транспортирования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auto"/>
            <w:tcW w:w="63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4017" w:type="dxa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54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270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rPr>
          <w:rFonts w:ascii="Times New Roman CYR" w:hAnsi="Times New Roman CYR" w:cs="Times New Roman CYR"/>
          <w:sz w:val="26"/>
          <w:szCs w:val="26"/>
        </w:rPr>
      </w:pPr>
      <w:r>
        <w:rPr>
          <w:rFonts w:ascii="Arial" w:hAnsi="Arial" w:cs="Arial"/>
          <w:b/>
          <w:bCs/>
          <w:color w:val="394651"/>
          <w:sz w:val="20"/>
          <w:szCs w:val="20"/>
          <w:shd w:val="clear" w:color="auto" w:fill="ffffff"/>
        </w:rPr>
        <w:t xml:space="preserve">Изолятор ПС-70Е</w:t>
      </w:r>
      <w:r>
        <w:rPr>
          <w:rFonts w:ascii="Arial" w:hAnsi="Arial" w:cs="Arial"/>
          <w:color w:val="394651"/>
          <w:sz w:val="20"/>
          <w:szCs w:val="20"/>
          <w:shd w:val="clear" w:color="auto" w:fill="ffffff"/>
        </w:rPr>
        <w:t xml:space="preserve"> 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rPr>
          <w:rFonts w:ascii="Times New Roman" w:hAnsi="Times New Roman"/>
          <w:sz w:val="24"/>
        </w:rPr>
      </w:pP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619250" cy="1076325"/>
                <wp:effectExtent l="0" t="0" r="0" b="0"/>
                <wp:docPr id="1" name="Рисунок 1" descr="Описание: ÐÐ¡70Ð_ÑÑÐºÐ¸Ð·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Описание: ÐÐ¡70Ð_ÑÑÐºÐ¸Ð·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619250" cy="1076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27.50pt;height:84.7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Arial" w:hAnsi="Arial" w:cs="Arial"/>
          <w:color w:val="394651"/>
          <w:sz w:val="20"/>
          <w:szCs w:val="20"/>
          <w:shd w:val="clear" w:color="auto" w:fill="ffffff"/>
        </w:rPr>
        <w:t xml:space="preserve">             </w:t>
      </w:r>
      <w:r>
        <w:rPr>
          <w:rFonts w:ascii="Arial" w:hAnsi="Arial" w:cs="Arial"/>
          <w:color w:val="394651"/>
          <w:sz w:val="20"/>
          <w:szCs w:val="20"/>
          <w:shd w:val="clear" w:color="auto" w:fill="ffffff"/>
        </w:rPr>
        <w:t xml:space="preserve">     </w:t>
      </w:r>
      <w:r>
        <w:rPr>
          <w:rFonts w:ascii="Arial" w:hAnsi="Arial" w:cs="Arial"/>
          <w:color w:val="394651"/>
          <w:sz w:val="20"/>
          <w:szCs w:val="20"/>
          <w:shd w:val="clear" w:color="auto" w:fill="ffffff"/>
        </w:rPr>
        <w:t xml:space="preserve">           </w:t>
      </w:r>
      <w:r>
        <w:rPr>
          <w:rFonts w:ascii="Arial" w:hAnsi="Arial" w:cs="Arial"/>
          <w:b/>
          <w:bCs/>
          <w:color w:val="394651"/>
          <w:sz w:val="20"/>
          <w:szCs w:val="20"/>
          <w:shd w:val="clear" w:color="auto" w:fill="ffffff"/>
        </w:rPr>
        <w:t xml:space="preserve">  </w:t>
      </w:r>
      <w:bookmarkStart w:id="0" w:name="_GoBack"/>
      <w:r/>
      <w:bookmarkEnd w:id="0"/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" w:hAnsi="Times New Roman"/>
          <w:sz w:val="24"/>
        </w:rPr>
      </w:r>
    </w:p>
    <w:sectPr>
      <w:footerReference w:type="default" r:id="rId9"/>
      <w:footnotePr/>
      <w:endnotePr/>
      <w:type w:val="nextPage"/>
      <w:pgSz w:w="12240" w:h="15840" w:orient="portrait"/>
      <w:pgMar w:top="1134" w:right="850" w:bottom="1134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DINCyr-Regular">
    <w:panose1 w:val="02000603000000000000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87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479" w:hanging="360"/>
        <w:tabs>
          <w:tab w:val="num" w:pos="3479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  <w:tabs>
          <w:tab w:val="num" w:pos="1070" w:leader="none"/>
        </w:tabs>
      </w:pPr>
      <w:rPr>
        <w:rFonts w:hint="default" w:cs="Times New Roman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rFonts w:hint="default"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8">
    <w:name w:val="Heading 1"/>
    <w:basedOn w:val="862"/>
    <w:next w:val="862"/>
    <w:link w:val="68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basedOn w:val="863"/>
    <w:link w:val="688"/>
    <w:uiPriority w:val="9"/>
    <w:rPr>
      <w:rFonts w:ascii="Arial" w:hAnsi="Arial" w:eastAsia="Arial" w:cs="Arial"/>
      <w:sz w:val="40"/>
      <w:szCs w:val="40"/>
    </w:rPr>
  </w:style>
  <w:style w:type="paragraph" w:styleId="690">
    <w:name w:val="Heading 2"/>
    <w:basedOn w:val="862"/>
    <w:next w:val="862"/>
    <w:link w:val="69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basedOn w:val="863"/>
    <w:link w:val="690"/>
    <w:uiPriority w:val="9"/>
    <w:rPr>
      <w:rFonts w:ascii="Arial" w:hAnsi="Arial" w:eastAsia="Arial" w:cs="Arial"/>
      <w:sz w:val="34"/>
    </w:rPr>
  </w:style>
  <w:style w:type="paragraph" w:styleId="692">
    <w:name w:val="Heading 3"/>
    <w:basedOn w:val="862"/>
    <w:next w:val="862"/>
    <w:link w:val="6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basedOn w:val="863"/>
    <w:link w:val="692"/>
    <w:uiPriority w:val="9"/>
    <w:rPr>
      <w:rFonts w:ascii="Arial" w:hAnsi="Arial" w:eastAsia="Arial" w:cs="Arial"/>
      <w:sz w:val="30"/>
      <w:szCs w:val="30"/>
    </w:rPr>
  </w:style>
  <w:style w:type="paragraph" w:styleId="694">
    <w:name w:val="Heading 4"/>
    <w:basedOn w:val="862"/>
    <w:next w:val="8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basedOn w:val="863"/>
    <w:link w:val="694"/>
    <w:uiPriority w:val="9"/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862"/>
    <w:next w:val="862"/>
    <w:link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basedOn w:val="863"/>
    <w:link w:val="696"/>
    <w:uiPriority w:val="9"/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862"/>
    <w:next w:val="862"/>
    <w:link w:val="69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basedOn w:val="863"/>
    <w:link w:val="698"/>
    <w:uiPriority w:val="9"/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862"/>
    <w:next w:val="862"/>
    <w:link w:val="70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basedOn w:val="86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862"/>
    <w:next w:val="862"/>
    <w:link w:val="70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basedOn w:val="863"/>
    <w:link w:val="702"/>
    <w:uiPriority w:val="9"/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862"/>
    <w:next w:val="862"/>
    <w:link w:val="7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basedOn w:val="863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06">
    <w:name w:val="No Spacing"/>
    <w:uiPriority w:val="1"/>
    <w:qFormat/>
    <w:pPr>
      <w:spacing w:before="0" w:after="0" w:line="240" w:lineRule="auto"/>
    </w:pPr>
  </w:style>
  <w:style w:type="paragraph" w:styleId="707">
    <w:name w:val="Title"/>
    <w:basedOn w:val="862"/>
    <w:next w:val="862"/>
    <w:link w:val="70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8">
    <w:name w:val="Title Char"/>
    <w:basedOn w:val="863"/>
    <w:link w:val="707"/>
    <w:uiPriority w:val="10"/>
    <w:rPr>
      <w:sz w:val="48"/>
      <w:szCs w:val="48"/>
    </w:rPr>
  </w:style>
  <w:style w:type="paragraph" w:styleId="709">
    <w:name w:val="Subtitle"/>
    <w:basedOn w:val="862"/>
    <w:next w:val="862"/>
    <w:link w:val="710"/>
    <w:uiPriority w:val="11"/>
    <w:qFormat/>
    <w:pPr>
      <w:spacing w:before="200" w:after="200"/>
    </w:pPr>
    <w:rPr>
      <w:sz w:val="24"/>
      <w:szCs w:val="24"/>
    </w:rPr>
  </w:style>
  <w:style w:type="character" w:styleId="710">
    <w:name w:val="Subtitle Char"/>
    <w:basedOn w:val="863"/>
    <w:link w:val="709"/>
    <w:uiPriority w:val="11"/>
    <w:rPr>
      <w:sz w:val="24"/>
      <w:szCs w:val="24"/>
    </w:rPr>
  </w:style>
  <w:style w:type="paragraph" w:styleId="711">
    <w:name w:val="Quote"/>
    <w:basedOn w:val="862"/>
    <w:next w:val="862"/>
    <w:link w:val="712"/>
    <w:uiPriority w:val="29"/>
    <w:qFormat/>
    <w:pPr>
      <w:ind w:left="720" w:right="720"/>
    </w:pPr>
    <w:rPr>
      <w:i/>
    </w:rPr>
  </w:style>
  <w:style w:type="character" w:styleId="712">
    <w:name w:val="Quote Char"/>
    <w:link w:val="711"/>
    <w:uiPriority w:val="29"/>
    <w:rPr>
      <w:i/>
    </w:rPr>
  </w:style>
  <w:style w:type="paragraph" w:styleId="713">
    <w:name w:val="Intense Quote"/>
    <w:basedOn w:val="862"/>
    <w:next w:val="862"/>
    <w:link w:val="71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4">
    <w:name w:val="Intense Quote Char"/>
    <w:link w:val="713"/>
    <w:uiPriority w:val="30"/>
    <w:rPr>
      <w:i/>
    </w:rPr>
  </w:style>
  <w:style w:type="character" w:styleId="715">
    <w:name w:val="Header Char"/>
    <w:basedOn w:val="863"/>
    <w:link w:val="874"/>
    <w:uiPriority w:val="99"/>
  </w:style>
  <w:style w:type="character" w:styleId="716">
    <w:name w:val="Footer Char"/>
    <w:basedOn w:val="863"/>
    <w:link w:val="876"/>
    <w:uiPriority w:val="99"/>
  </w:style>
  <w:style w:type="paragraph" w:styleId="717">
    <w:name w:val="Caption"/>
    <w:basedOn w:val="862"/>
    <w:next w:val="8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8">
    <w:name w:val="Caption Char"/>
    <w:basedOn w:val="717"/>
    <w:link w:val="876"/>
    <w:uiPriority w:val="99"/>
  </w:style>
  <w:style w:type="table" w:styleId="719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2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3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5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8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9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0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1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2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3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0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1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2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3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4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5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7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2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3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4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5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6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7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8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0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1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2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3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4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5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6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7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8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9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0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1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2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3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8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9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0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1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2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3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4">
    <w:name w:val="Hyperlink"/>
    <w:uiPriority w:val="99"/>
    <w:unhideWhenUsed/>
    <w:rPr>
      <w:color w:val="0000ff" w:themeColor="hyperlink"/>
      <w:u w:val="single"/>
    </w:rPr>
  </w:style>
  <w:style w:type="paragraph" w:styleId="845">
    <w:name w:val="footnote text"/>
    <w:basedOn w:val="862"/>
    <w:link w:val="846"/>
    <w:uiPriority w:val="99"/>
    <w:semiHidden/>
    <w:unhideWhenUsed/>
    <w:pPr>
      <w:spacing w:after="40" w:line="240" w:lineRule="auto"/>
    </w:pPr>
    <w:rPr>
      <w:sz w:val="18"/>
    </w:rPr>
  </w:style>
  <w:style w:type="character" w:styleId="846">
    <w:name w:val="Footnote Text Char"/>
    <w:link w:val="845"/>
    <w:uiPriority w:val="99"/>
    <w:rPr>
      <w:sz w:val="18"/>
    </w:rPr>
  </w:style>
  <w:style w:type="character" w:styleId="847">
    <w:name w:val="footnote reference"/>
    <w:basedOn w:val="863"/>
    <w:uiPriority w:val="99"/>
    <w:unhideWhenUsed/>
    <w:rPr>
      <w:vertAlign w:val="superscript"/>
    </w:rPr>
  </w:style>
  <w:style w:type="paragraph" w:styleId="848">
    <w:name w:val="endnote text"/>
    <w:basedOn w:val="862"/>
    <w:link w:val="849"/>
    <w:uiPriority w:val="99"/>
    <w:semiHidden/>
    <w:unhideWhenUsed/>
    <w:pPr>
      <w:spacing w:after="0" w:line="240" w:lineRule="auto"/>
    </w:pPr>
    <w:rPr>
      <w:sz w:val="20"/>
    </w:rPr>
  </w:style>
  <w:style w:type="character" w:styleId="849">
    <w:name w:val="Endnote Text Char"/>
    <w:link w:val="848"/>
    <w:uiPriority w:val="99"/>
    <w:rPr>
      <w:sz w:val="20"/>
    </w:rPr>
  </w:style>
  <w:style w:type="character" w:styleId="850">
    <w:name w:val="endnote reference"/>
    <w:basedOn w:val="863"/>
    <w:uiPriority w:val="99"/>
    <w:semiHidden/>
    <w:unhideWhenUsed/>
    <w:rPr>
      <w:vertAlign w:val="superscript"/>
    </w:rPr>
  </w:style>
  <w:style w:type="paragraph" w:styleId="851">
    <w:name w:val="toc 1"/>
    <w:basedOn w:val="862"/>
    <w:next w:val="862"/>
    <w:uiPriority w:val="39"/>
    <w:unhideWhenUsed/>
    <w:pPr>
      <w:ind w:left="0" w:right="0" w:firstLine="0"/>
      <w:spacing w:after="57"/>
    </w:pPr>
  </w:style>
  <w:style w:type="paragraph" w:styleId="852">
    <w:name w:val="toc 2"/>
    <w:basedOn w:val="862"/>
    <w:next w:val="862"/>
    <w:uiPriority w:val="39"/>
    <w:unhideWhenUsed/>
    <w:pPr>
      <w:ind w:left="283" w:right="0" w:firstLine="0"/>
      <w:spacing w:after="57"/>
    </w:pPr>
  </w:style>
  <w:style w:type="paragraph" w:styleId="853">
    <w:name w:val="toc 3"/>
    <w:basedOn w:val="862"/>
    <w:next w:val="862"/>
    <w:uiPriority w:val="39"/>
    <w:unhideWhenUsed/>
    <w:pPr>
      <w:ind w:left="567" w:right="0" w:firstLine="0"/>
      <w:spacing w:after="57"/>
    </w:pPr>
  </w:style>
  <w:style w:type="paragraph" w:styleId="854">
    <w:name w:val="toc 4"/>
    <w:basedOn w:val="862"/>
    <w:next w:val="862"/>
    <w:uiPriority w:val="39"/>
    <w:unhideWhenUsed/>
    <w:pPr>
      <w:ind w:left="850" w:right="0" w:firstLine="0"/>
      <w:spacing w:after="57"/>
    </w:pPr>
  </w:style>
  <w:style w:type="paragraph" w:styleId="855">
    <w:name w:val="toc 5"/>
    <w:basedOn w:val="862"/>
    <w:next w:val="862"/>
    <w:uiPriority w:val="39"/>
    <w:unhideWhenUsed/>
    <w:pPr>
      <w:ind w:left="1134" w:right="0" w:firstLine="0"/>
      <w:spacing w:after="57"/>
    </w:pPr>
  </w:style>
  <w:style w:type="paragraph" w:styleId="856">
    <w:name w:val="toc 6"/>
    <w:basedOn w:val="862"/>
    <w:next w:val="862"/>
    <w:uiPriority w:val="39"/>
    <w:unhideWhenUsed/>
    <w:pPr>
      <w:ind w:left="1417" w:right="0" w:firstLine="0"/>
      <w:spacing w:after="57"/>
    </w:pPr>
  </w:style>
  <w:style w:type="paragraph" w:styleId="857">
    <w:name w:val="toc 7"/>
    <w:basedOn w:val="862"/>
    <w:next w:val="862"/>
    <w:uiPriority w:val="39"/>
    <w:unhideWhenUsed/>
    <w:pPr>
      <w:ind w:left="1701" w:right="0" w:firstLine="0"/>
      <w:spacing w:after="57"/>
    </w:pPr>
  </w:style>
  <w:style w:type="paragraph" w:styleId="858">
    <w:name w:val="toc 8"/>
    <w:basedOn w:val="862"/>
    <w:next w:val="862"/>
    <w:uiPriority w:val="39"/>
    <w:unhideWhenUsed/>
    <w:pPr>
      <w:ind w:left="1984" w:right="0" w:firstLine="0"/>
      <w:spacing w:after="57"/>
    </w:pPr>
  </w:style>
  <w:style w:type="paragraph" w:styleId="859">
    <w:name w:val="toc 9"/>
    <w:basedOn w:val="862"/>
    <w:next w:val="862"/>
    <w:uiPriority w:val="39"/>
    <w:unhideWhenUsed/>
    <w:pPr>
      <w:ind w:left="2268" w:right="0" w:firstLine="0"/>
      <w:spacing w:after="57"/>
    </w:pPr>
  </w:style>
  <w:style w:type="paragraph" w:styleId="860">
    <w:name w:val="TOC Heading"/>
    <w:uiPriority w:val="39"/>
    <w:unhideWhenUsed/>
  </w:style>
  <w:style w:type="paragraph" w:styleId="861">
    <w:name w:val="table of figures"/>
    <w:basedOn w:val="862"/>
    <w:next w:val="862"/>
    <w:uiPriority w:val="99"/>
    <w:unhideWhenUsed/>
    <w:pPr>
      <w:spacing w:after="0" w:afterAutospacing="0"/>
    </w:pPr>
  </w:style>
  <w:style w:type="paragraph" w:styleId="86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863" w:default="1">
    <w:name w:val="Default Paragraph Font"/>
    <w:uiPriority w:val="1"/>
    <w:semiHidden/>
    <w:unhideWhenUsed/>
  </w:style>
  <w:style w:type="table" w:styleId="8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5" w:default="1">
    <w:name w:val="No List"/>
    <w:uiPriority w:val="99"/>
    <w:semiHidden/>
    <w:unhideWhenUsed/>
  </w:style>
  <w:style w:type="table" w:styleId="866">
    <w:name w:val="Table Grid"/>
    <w:basedOn w:val="86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7" w:customStyle="1">
    <w:name w:val="Абзац списка1"/>
    <w:basedOn w:val="862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8">
    <w:name w:val="Body Text Indent"/>
    <w:basedOn w:val="862"/>
    <w:link w:val="869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69" w:customStyle="1">
    <w:name w:val="Основной текст с отступом Знак"/>
    <w:link w:val="868"/>
    <w:rPr>
      <w:rFonts w:ascii="Times New Roman" w:hAnsi="Times New Roman" w:eastAsia="Times New Roman"/>
      <w:sz w:val="24"/>
      <w:szCs w:val="24"/>
    </w:rPr>
  </w:style>
  <w:style w:type="paragraph" w:styleId="870">
    <w:name w:val="Balloon Text"/>
    <w:basedOn w:val="862"/>
    <w:link w:val="871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871" w:customStyle="1">
    <w:name w:val="Текст выноски Знак"/>
    <w:link w:val="870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2" w:customStyle="1">
    <w:name w:val="Стиль3"/>
    <w:basedOn w:val="862"/>
    <w:link w:val="873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873" w:customStyle="1">
    <w:name w:val="Стиль3 Знак"/>
    <w:link w:val="872"/>
    <w:rPr>
      <w:rFonts w:ascii="Arial" w:hAnsi="Arial" w:eastAsia="Times New Roman" w:cs="Arial"/>
      <w:sz w:val="22"/>
      <w:szCs w:val="22"/>
    </w:rPr>
  </w:style>
  <w:style w:type="paragraph" w:styleId="874">
    <w:name w:val="Header"/>
    <w:basedOn w:val="862"/>
    <w:link w:val="87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5" w:customStyle="1">
    <w:name w:val="Верхний колонтитул Знак"/>
    <w:link w:val="874"/>
    <w:uiPriority w:val="99"/>
    <w:rPr>
      <w:sz w:val="22"/>
      <w:szCs w:val="22"/>
      <w:lang w:eastAsia="en-US"/>
    </w:rPr>
  </w:style>
  <w:style w:type="paragraph" w:styleId="876">
    <w:name w:val="Footer"/>
    <w:basedOn w:val="862"/>
    <w:link w:val="87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7" w:customStyle="1">
    <w:name w:val="Нижний колонтитул Знак"/>
    <w:link w:val="876"/>
    <w:uiPriority w:val="99"/>
    <w:rPr>
      <w:sz w:val="22"/>
      <w:szCs w:val="22"/>
      <w:lang w:eastAsia="en-US"/>
    </w:rPr>
  </w:style>
  <w:style w:type="paragraph" w:styleId="878" w:customStyle="1">
    <w:name w:val="Pa2"/>
    <w:basedOn w:val="862"/>
    <w:next w:val="862"/>
    <w:uiPriority w:val="99"/>
    <w:pPr>
      <w:spacing w:after="0" w:line="171" w:lineRule="atLeast"/>
    </w:pPr>
    <w:rPr>
      <w:rFonts w:ascii="DINCyr-Regular" w:hAnsi="DINCyr-Regular"/>
      <w:sz w:val="24"/>
      <w:szCs w:val="24"/>
      <w:lang w:eastAsia="ru-RU"/>
    </w:rPr>
  </w:style>
  <w:style w:type="paragraph" w:styleId="879">
    <w:name w:val="List Paragraph"/>
    <w:basedOn w:val="862"/>
    <w:uiPriority w:val="34"/>
    <w:qFormat/>
    <w:pPr>
      <w:contextualSpacing/>
      <w:ind w:left="720"/>
    </w:pPr>
  </w:style>
  <w:style w:type="paragraph" w:styleId="880">
    <w:name w:val="Body Text 3"/>
    <w:basedOn w:val="862"/>
    <w:link w:val="881"/>
    <w:uiPriority w:val="99"/>
    <w:semiHidden/>
    <w:unhideWhenUsed/>
    <w:pPr>
      <w:spacing w:after="120"/>
    </w:pPr>
    <w:rPr>
      <w:sz w:val="16"/>
      <w:szCs w:val="16"/>
    </w:rPr>
  </w:style>
  <w:style w:type="character" w:styleId="881" w:customStyle="1">
    <w:name w:val="Основной текст 3 Знак"/>
    <w:basedOn w:val="863"/>
    <w:link w:val="880"/>
    <w:uiPriority w:val="99"/>
    <w:semiHidden/>
    <w:rPr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07AC2-04A2-4171-BE85-2BC08921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10</cp:revision>
  <dcterms:created xsi:type="dcterms:W3CDTF">2023-09-28T04:58:00Z</dcterms:created>
  <dcterms:modified xsi:type="dcterms:W3CDTF">2025-04-01T12:57:23Z</dcterms:modified>
</cp:coreProperties>
</file>